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8C45A3">
        <w:rPr>
          <w:b/>
          <w:sz w:val="24"/>
          <w:szCs w:val="24"/>
        </w:rPr>
        <w:t>4</w:t>
      </w:r>
      <w:r w:rsidR="00221A64" w:rsidRPr="00395BDA">
        <w:rPr>
          <w:b/>
          <w:sz w:val="24"/>
          <w:szCs w:val="24"/>
        </w:rPr>
        <w:t>º) trimestre de 2.01</w:t>
      </w:r>
      <w:r w:rsidR="00417DC8">
        <w:rPr>
          <w:b/>
          <w:sz w:val="24"/>
          <w:szCs w:val="24"/>
        </w:rPr>
        <w:t>9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D977C3" w:rsidRDefault="00D977C3" w:rsidP="00D977C3">
      <w:pPr>
        <w:numPr>
          <w:ilvl w:val="0"/>
          <w:numId w:val="7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Presupuesto de  Ley aprobado Nº 9.</w:t>
      </w:r>
      <w:r w:rsidR="00417DC8">
        <w:rPr>
          <w:color w:val="000000"/>
          <w:sz w:val="24"/>
          <w:szCs w:val="24"/>
        </w:rPr>
        <w:t>122</w:t>
      </w:r>
      <w:r>
        <w:rPr>
          <w:color w:val="000000"/>
          <w:sz w:val="24"/>
          <w:szCs w:val="24"/>
        </w:rPr>
        <w:t>/201</w:t>
      </w:r>
      <w:r w:rsidR="00417DC8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 xml:space="preserve">  se asignaron a esta I.G.S. las siguientes partidas:</w:t>
      </w:r>
    </w:p>
    <w:p w:rsidR="00D977C3" w:rsidRDefault="00D977C3" w:rsidP="00D977C3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6.704.384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547.516</w:t>
      </w:r>
      <w:r w:rsidRPr="001E538C">
        <w:rPr>
          <w:color w:val="000000"/>
          <w:sz w:val="24"/>
          <w:szCs w:val="24"/>
        </w:rPr>
        <w:t xml:space="preserve">,00 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833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857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812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214</w:t>
      </w:r>
      <w:r w:rsidRPr="001E538C">
        <w:rPr>
          <w:color w:val="000000"/>
          <w:sz w:val="24"/>
          <w:szCs w:val="24"/>
        </w:rPr>
        <w:t>,00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162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624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387.974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444E3" w:rsidRPr="001E538C" w:rsidRDefault="001444E3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1444E3" w:rsidRPr="001A182B" w:rsidRDefault="001444E3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1444E3" w:rsidRDefault="001444E3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>
        <w:rPr>
          <w:sz w:val="24"/>
          <w:szCs w:val="24"/>
        </w:rPr>
        <w:t>12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448.569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9B51F5" w:rsidRDefault="009B51F5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157"/>
        <w:gridCol w:w="678"/>
        <w:gridCol w:w="180"/>
      </w:tblGrid>
      <w:tr w:rsidR="00892339" w:rsidTr="00892339">
        <w:trPr>
          <w:trHeight w:val="315"/>
        </w:trPr>
        <w:tc>
          <w:tcPr>
            <w:tcW w:w="8153" w:type="dxa"/>
            <w:noWrap/>
            <w:vAlign w:val="bottom"/>
            <w:hideMark/>
          </w:tcPr>
          <w:tbl>
            <w:tblPr>
              <w:tblW w:w="7968" w:type="dxa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37"/>
              <w:gridCol w:w="777"/>
              <w:gridCol w:w="1436"/>
              <w:gridCol w:w="1169"/>
              <w:gridCol w:w="865"/>
              <w:gridCol w:w="931"/>
              <w:gridCol w:w="1547"/>
            </w:tblGrid>
            <w:tr w:rsidR="00892339" w:rsidTr="00231A75">
              <w:trPr>
                <w:trHeight w:val="315"/>
              </w:trPr>
              <w:tc>
                <w:tcPr>
                  <w:tcW w:w="5475" w:type="dxa"/>
                  <w:gridSpan w:val="5"/>
                  <w:noWrap/>
                  <w:vAlign w:val="bottom"/>
                  <w:hideMark/>
                </w:tcPr>
                <w:p w:rsidR="00892339" w:rsidRPr="00232BCE" w:rsidRDefault="00892339" w:rsidP="00892339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4"/>
                      <w:szCs w:val="24"/>
                      <w:lang w:val="es-AR" w:eastAsia="es-AR"/>
                    </w:rPr>
                  </w:pPr>
                  <w:r w:rsidRPr="00232BCE">
                    <w:rPr>
                      <w:rFonts w:eastAsia="Times New Roman" w:cs="Calibri"/>
                      <w:b/>
                      <w:bCs/>
                      <w:color w:val="000000"/>
                      <w:sz w:val="24"/>
                      <w:szCs w:val="24"/>
                      <w:lang w:val="es-AR" w:eastAsia="es-AR"/>
                    </w:rPr>
                    <w:t>Reducciones presupuestarias ejercicio 2019</w:t>
                  </w:r>
                </w:p>
                <w:p w:rsidR="00892339" w:rsidRPr="00232BCE" w:rsidRDefault="00892339" w:rsidP="00CA0304">
                  <w:pPr>
                    <w:pStyle w:val="Prrafodelista"/>
                    <w:spacing w:after="0" w:line="240" w:lineRule="auto"/>
                    <w:ind w:left="720"/>
                    <w:rPr>
                      <w:rFonts w:eastAsia="Times New Roman" w:cs="Calibri"/>
                      <w:b/>
                      <w:bCs/>
                      <w:color w:val="000000"/>
                      <w:sz w:val="24"/>
                      <w:szCs w:val="24"/>
                      <w:lang w:val="es-AR" w:eastAsia="es-AR"/>
                    </w:rPr>
                  </w:pPr>
                </w:p>
              </w:tc>
              <w:tc>
                <w:tcPr>
                  <w:tcW w:w="93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557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</w:tr>
            <w:tr w:rsidR="00231A75" w:rsidTr="00231A75">
              <w:trPr>
                <w:trHeight w:val="315"/>
              </w:trPr>
              <w:tc>
                <w:tcPr>
                  <w:tcW w:w="122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770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445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17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858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93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557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Detalle</w:t>
                  </w:r>
                </w:p>
              </w:tc>
              <w:tc>
                <w:tcPr>
                  <w:tcW w:w="7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Partida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Votado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Aumentos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Dismin</w:t>
                  </w:r>
                  <w:r w:rsidR="006F0F37">
                    <w:rPr>
                      <w:rFonts w:eastAsia="Times New Roman" w:cs="Calibri"/>
                      <w:color w:val="000000"/>
                      <w:lang w:val="es-AR" w:eastAsia="es-AR"/>
                    </w:rPr>
                    <w:t>u</w:t>
                  </w:r>
                </w:p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ciones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Reservas</w:t>
                  </w:r>
                </w:p>
              </w:tc>
              <w:tc>
                <w:tcPr>
                  <w:tcW w:w="15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Crédito Vigente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Personal Permanente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41101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 xml:space="preserve"> 6.704.384,00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6.704.384,00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Bienes Corrientes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41201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547.516,00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547.516,00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Servicios Corrientes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41301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3.833.857,00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231A75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  <w:r>
                    <w:rPr>
                      <w:sz w:val="20"/>
                      <w:szCs w:val="20"/>
                      <w:lang w:val="es-AR" w:eastAsia="es-AR"/>
                    </w:rPr>
                    <w:t>765.000,00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231A75" w:rsidP="00231A75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</w:t>
                  </w:r>
                  <w:r w:rsidR="00892339">
                    <w:rPr>
                      <w:rFonts w:eastAsia="Times New Roman" w:cs="Calibri"/>
                      <w:color w:val="000000"/>
                      <w:lang w:val="es-AR" w:eastAsia="es-AR"/>
                    </w:rPr>
                    <w:t>.</w:t>
                  </w: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59</w:t>
                  </w:r>
                  <w:r w:rsidR="00892339">
                    <w:rPr>
                      <w:rFonts w:eastAsia="Times New Roman" w:cs="Calibri"/>
                      <w:color w:val="000000"/>
                      <w:lang w:val="es-AR" w:eastAsia="es-AR"/>
                    </w:rPr>
                    <w:t>8.857,00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Convenios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41302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812.214,00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812.214,00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Contrato de Locación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41305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162.624,00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Pr="00231A75" w:rsidRDefault="00892339" w:rsidP="00231A75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  <w:r w:rsidRPr="00231A75">
                    <w:rPr>
                      <w:sz w:val="20"/>
                      <w:szCs w:val="20"/>
                      <w:lang w:val="es-AR" w:eastAsia="es-AR"/>
                    </w:rPr>
                    <w:t>70.000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Pr="00231A75" w:rsidRDefault="00892339" w:rsidP="00231A75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  <w:r w:rsidRPr="00231A75">
                    <w:rPr>
                      <w:sz w:val="20"/>
                      <w:szCs w:val="2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232.624,00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Servicios Públicos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41310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387.974,00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  <w:r w:rsidR="00231A75" w:rsidRPr="00231A75">
                    <w:rPr>
                      <w:sz w:val="20"/>
                      <w:szCs w:val="20"/>
                      <w:lang w:val="es-AR" w:eastAsia="es-AR"/>
                    </w:rPr>
                    <w:t>137.274,57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231A75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</w:t>
                  </w:r>
                  <w:r w:rsidR="00892339">
                    <w:rPr>
                      <w:rFonts w:eastAsia="Times New Roman" w:cs="Calibri"/>
                      <w:color w:val="000000"/>
                      <w:lang w:val="es-AR" w:eastAsia="es-AR"/>
                    </w:rPr>
                    <w:t>,00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231A75" w:rsidP="00231A75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525.248,57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Bienes de Capital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51101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TOTAL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12.448.569,00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  <w:r w:rsidR="00231A75">
                    <w:rPr>
                      <w:rFonts w:eastAsia="Times New Roman" w:cs="Calibri"/>
                      <w:color w:val="000000"/>
                      <w:lang w:val="es-AR" w:eastAsia="es-AR"/>
                    </w:rPr>
                    <w:t>972274,57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231A75" w:rsidP="00231A75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</w:t>
                  </w:r>
                  <w:r w:rsidR="00892339">
                    <w:rPr>
                      <w:rFonts w:eastAsia="Times New Roman" w:cs="Calibri"/>
                      <w:color w:val="000000"/>
                      <w:lang w:val="es-AR" w:eastAsia="es-AR"/>
                    </w:rPr>
                    <w:t>,00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231A75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1</w:t>
                  </w:r>
                  <w:r w:rsidR="00231A75">
                    <w:rPr>
                      <w:rFonts w:eastAsia="Times New Roman" w:cs="Calibri"/>
                      <w:color w:val="000000"/>
                      <w:lang w:val="es-AR" w:eastAsia="es-AR"/>
                    </w:rPr>
                    <w:t>3</w:t>
                  </w: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.</w:t>
                  </w:r>
                  <w:r w:rsidR="00231A75">
                    <w:rPr>
                      <w:rFonts w:eastAsia="Times New Roman" w:cs="Calibri"/>
                      <w:color w:val="000000"/>
                      <w:lang w:val="es-AR" w:eastAsia="es-AR"/>
                    </w:rPr>
                    <w:t>24</w:t>
                  </w: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0.</w:t>
                  </w:r>
                  <w:r w:rsidR="00231A75">
                    <w:rPr>
                      <w:rFonts w:eastAsia="Times New Roman" w:cs="Calibri"/>
                      <w:color w:val="000000"/>
                      <w:lang w:val="es-AR" w:eastAsia="es-AR"/>
                    </w:rPr>
                    <w:t>843</w:t>
                  </w: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,</w:t>
                  </w:r>
                  <w:r w:rsidR="00231A75">
                    <w:rPr>
                      <w:rFonts w:eastAsia="Times New Roman" w:cs="Calibri"/>
                      <w:color w:val="000000"/>
                      <w:lang w:val="es-AR" w:eastAsia="es-AR"/>
                    </w:rPr>
                    <w:t>57</w:t>
                  </w:r>
                </w:p>
              </w:tc>
            </w:tr>
            <w:tr w:rsidR="00231A75" w:rsidTr="00231A75">
              <w:trPr>
                <w:trHeight w:val="300"/>
              </w:trPr>
              <w:tc>
                <w:tcPr>
                  <w:tcW w:w="122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770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445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17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858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93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557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</w:tr>
          </w:tbl>
          <w:p w:rsidR="00232BCE" w:rsidRPr="00232BCE" w:rsidRDefault="00232BCE" w:rsidP="00232BCE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682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80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892339" w:rsidRDefault="00892339" w:rsidP="00892339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En cuanto a la reducciones de las partidas por reservas en el mes de </w:t>
      </w:r>
      <w:r w:rsidR="004F1944">
        <w:rPr>
          <w:sz w:val="24"/>
          <w:szCs w:val="24"/>
        </w:rPr>
        <w:t>diciembre</w:t>
      </w:r>
      <w:r>
        <w:rPr>
          <w:sz w:val="24"/>
          <w:szCs w:val="24"/>
        </w:rPr>
        <w:t xml:space="preserve"> se liberó las reservas de Bienes y Servicios, Servicios Públicos 41310,  que realizó el Ministerio de hacienda de la Provincia, lo que  disminuyó las partidas en función del devengado a setiembre  del 2018, se destaca que se </w:t>
      </w:r>
      <w:r w:rsidR="004F1944">
        <w:rPr>
          <w:sz w:val="24"/>
          <w:szCs w:val="24"/>
        </w:rPr>
        <w:t xml:space="preserve">logro </w:t>
      </w:r>
      <w:r>
        <w:rPr>
          <w:sz w:val="24"/>
          <w:szCs w:val="24"/>
        </w:rPr>
        <w:t>un refuerza de partida de PESOS SETECIENTOS CINCUENTA MIL ($750</w:t>
      </w:r>
      <w:r w:rsidR="006F0F37">
        <w:rPr>
          <w:sz w:val="24"/>
          <w:szCs w:val="24"/>
        </w:rPr>
        <w:t>.</w:t>
      </w:r>
      <w:r>
        <w:rPr>
          <w:sz w:val="24"/>
          <w:szCs w:val="24"/>
        </w:rPr>
        <w:t>000)</w:t>
      </w:r>
      <w:r w:rsidR="004F1944">
        <w:rPr>
          <w:sz w:val="24"/>
          <w:szCs w:val="24"/>
        </w:rPr>
        <w:t xml:space="preserve"> </w:t>
      </w:r>
      <w:proofErr w:type="spellStart"/>
      <w:r w:rsidR="004F1944">
        <w:rPr>
          <w:sz w:val="24"/>
          <w:szCs w:val="24"/>
        </w:rPr>
        <w:t>solcitado</w:t>
      </w:r>
      <w:proofErr w:type="spellEnd"/>
      <w:r w:rsidR="004F1944">
        <w:rPr>
          <w:sz w:val="24"/>
          <w:szCs w:val="24"/>
        </w:rPr>
        <w:t xml:space="preserve"> al Ministerio de Seguridad, Resol 177 S 2020, </w:t>
      </w:r>
      <w:r>
        <w:rPr>
          <w:sz w:val="24"/>
          <w:szCs w:val="24"/>
        </w:rPr>
        <w:t xml:space="preserve"> para afrontar gastos de bienes y Servicios del presente ejercicio.</w:t>
      </w:r>
    </w:p>
    <w:p w:rsidR="00892339" w:rsidRDefault="00892339" w:rsidP="00892339">
      <w:pPr>
        <w:spacing w:after="0" w:line="240" w:lineRule="auto"/>
        <w:ind w:left="360"/>
        <w:jc w:val="both"/>
        <w:rPr>
          <w:sz w:val="24"/>
          <w:szCs w:val="24"/>
        </w:rPr>
      </w:pP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En cuanto a la partida de personal permanente, personal temporario y cargos vacantes, la partida es insuficiente toda vez que no se ha contemplado los aumentos otorgados por el Poder Ejecutivo. Se ha solicitado Personal al Ministerio de Seguridad</w:t>
      </w:r>
      <w:r w:rsidR="00CE30E8">
        <w:rPr>
          <w:sz w:val="24"/>
          <w:szCs w:val="24"/>
        </w:rPr>
        <w:t xml:space="preserve">, se </w:t>
      </w:r>
      <w:r w:rsidR="006F0F37">
        <w:rPr>
          <w:sz w:val="24"/>
          <w:szCs w:val="24"/>
        </w:rPr>
        <w:t>está</w:t>
      </w:r>
      <w:r w:rsidR="00CE30E8">
        <w:rPr>
          <w:sz w:val="24"/>
          <w:szCs w:val="24"/>
        </w:rPr>
        <w:t xml:space="preserve"> gestionando el traspaso definitivo del personal civil </w:t>
      </w:r>
      <w:r w:rsidR="00DC5F16">
        <w:rPr>
          <w:sz w:val="24"/>
          <w:szCs w:val="24"/>
        </w:rPr>
        <w:t>p</w:t>
      </w:r>
      <w:r w:rsidR="00CE30E8">
        <w:rPr>
          <w:sz w:val="24"/>
          <w:szCs w:val="24"/>
        </w:rPr>
        <w:t>olicial y penitenciario del Ministerio a la Inspección General de Seguridad</w:t>
      </w:r>
      <w:r>
        <w:rPr>
          <w:sz w:val="24"/>
          <w:szCs w:val="24"/>
        </w:rPr>
        <w:t>.</w:t>
      </w:r>
      <w:r w:rsidR="007E6923"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E6923" w:rsidRDefault="007E6923" w:rsidP="007E692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0A1572" w:rsidRPr="000A1572">
        <w:t xml:space="preserve"> </w:t>
      </w:r>
      <w:r w:rsidR="00DC5F16">
        <w:t>593/2019</w:t>
      </w:r>
      <w:r>
        <w:rPr>
          <w:sz w:val="24"/>
          <w:szCs w:val="24"/>
        </w:rPr>
        <w:t>,</w:t>
      </w:r>
      <w:r w:rsidRPr="00880FDC">
        <w:rPr>
          <w:sz w:val="24"/>
          <w:szCs w:val="24"/>
        </w:rPr>
        <w:t xml:space="preserve"> en función de las partidas que autoriza el Ministerio de hacienda, el Poder Ejecutivo</w:t>
      </w:r>
      <w:r w:rsidR="00DC5F16">
        <w:rPr>
          <w:sz w:val="24"/>
          <w:szCs w:val="24"/>
        </w:rPr>
        <w:t>, se incrementó la partida por el aumento Decreto 108/</w:t>
      </w:r>
      <w:r w:rsidR="006F0F37">
        <w:rPr>
          <w:sz w:val="24"/>
          <w:szCs w:val="24"/>
        </w:rPr>
        <w:t>2019.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B51F5" w:rsidRDefault="00F238CF" w:rsidP="007E692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</w:t>
      </w:r>
      <w:r w:rsidR="007E6923">
        <w:rPr>
          <w:sz w:val="24"/>
          <w:szCs w:val="24"/>
        </w:rPr>
        <w:t xml:space="preserve">continua con </w:t>
      </w:r>
      <w:r w:rsidR="00A50BC4">
        <w:rPr>
          <w:sz w:val="24"/>
          <w:szCs w:val="24"/>
        </w:rPr>
        <w:t>los</w:t>
      </w:r>
      <w:r w:rsidR="007E6923">
        <w:rPr>
          <w:sz w:val="24"/>
          <w:szCs w:val="24"/>
        </w:rPr>
        <w:t xml:space="preserve"> pasantes de la Universidad Nacional de Cuyo, Facultad de Derecho no se han realizado nuevos convenios debido a las restricciones del Decreto </w:t>
      </w:r>
      <w:r w:rsidR="00CB0773">
        <w:rPr>
          <w:sz w:val="24"/>
          <w:szCs w:val="24"/>
        </w:rPr>
        <w:t>2319</w:t>
      </w:r>
      <w:r w:rsidR="007E6923">
        <w:rPr>
          <w:sz w:val="24"/>
          <w:szCs w:val="24"/>
        </w:rPr>
        <w:t>/201</w:t>
      </w:r>
      <w:r w:rsidR="009B51F5">
        <w:rPr>
          <w:sz w:val="24"/>
          <w:szCs w:val="24"/>
        </w:rPr>
        <w:t>8</w:t>
      </w:r>
      <w:r>
        <w:rPr>
          <w:sz w:val="24"/>
          <w:szCs w:val="24"/>
        </w:rPr>
        <w:t xml:space="preserve"> para que los pasantes de la Facultad de Derecho</w:t>
      </w:r>
      <w:r w:rsidR="009B51F5">
        <w:rPr>
          <w:sz w:val="24"/>
          <w:szCs w:val="24"/>
        </w:rPr>
        <w:t>.</w:t>
      </w:r>
    </w:p>
    <w:p w:rsidR="00F238CF" w:rsidRDefault="00F238CF" w:rsidP="007E6923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</w:t>
      </w:r>
      <w:r w:rsidR="009B51F5">
        <w:rPr>
          <w:sz w:val="24"/>
          <w:szCs w:val="24"/>
        </w:rPr>
        <w:t xml:space="preserve">renovación de </w:t>
      </w:r>
      <w:r w:rsidR="006F0F37">
        <w:rPr>
          <w:sz w:val="24"/>
          <w:szCs w:val="24"/>
        </w:rPr>
        <w:t>las</w:t>
      </w:r>
      <w:r w:rsidR="009B51F5">
        <w:rPr>
          <w:sz w:val="24"/>
          <w:szCs w:val="24"/>
        </w:rPr>
        <w:t xml:space="preserve"> movilidades. </w:t>
      </w:r>
      <w:r w:rsidR="007E6923">
        <w:rPr>
          <w:sz w:val="24"/>
          <w:szCs w:val="24"/>
        </w:rPr>
        <w:t xml:space="preserve">se restringieron las compras de Bienes de </w:t>
      </w:r>
      <w:r w:rsidR="006F0F37">
        <w:rPr>
          <w:sz w:val="24"/>
          <w:szCs w:val="24"/>
        </w:rPr>
        <w:t>Capital.-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4F1944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6C253A">
        <w:rPr>
          <w:sz w:val="24"/>
          <w:szCs w:val="24"/>
        </w:rPr>
        <w:t xml:space="preserve"> de </w:t>
      </w:r>
      <w:r w:rsidR="004F1944">
        <w:rPr>
          <w:sz w:val="24"/>
          <w:szCs w:val="24"/>
        </w:rPr>
        <w:t xml:space="preserve">febrero </w:t>
      </w:r>
      <w:r>
        <w:rPr>
          <w:sz w:val="24"/>
          <w:szCs w:val="24"/>
        </w:rPr>
        <w:t>de 20</w:t>
      </w:r>
      <w:r w:rsidR="004F1944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13705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138EE"/>
    <w:rsid w:val="00015DB3"/>
    <w:rsid w:val="00041F74"/>
    <w:rsid w:val="000462D9"/>
    <w:rsid w:val="00065512"/>
    <w:rsid w:val="00085A60"/>
    <w:rsid w:val="00093186"/>
    <w:rsid w:val="000A1572"/>
    <w:rsid w:val="000E1CC2"/>
    <w:rsid w:val="000E7E7D"/>
    <w:rsid w:val="00100C0A"/>
    <w:rsid w:val="00107700"/>
    <w:rsid w:val="00111BF9"/>
    <w:rsid w:val="00114615"/>
    <w:rsid w:val="001444E3"/>
    <w:rsid w:val="00163CCD"/>
    <w:rsid w:val="001703BA"/>
    <w:rsid w:val="0017289E"/>
    <w:rsid w:val="00194C77"/>
    <w:rsid w:val="0019537B"/>
    <w:rsid w:val="001A182B"/>
    <w:rsid w:val="001B0EB2"/>
    <w:rsid w:val="001C0F01"/>
    <w:rsid w:val="001C2581"/>
    <w:rsid w:val="001D270C"/>
    <w:rsid w:val="001D48CD"/>
    <w:rsid w:val="001F1BC9"/>
    <w:rsid w:val="00210512"/>
    <w:rsid w:val="00212DF3"/>
    <w:rsid w:val="002163ED"/>
    <w:rsid w:val="00217ACC"/>
    <w:rsid w:val="00221A64"/>
    <w:rsid w:val="00231A75"/>
    <w:rsid w:val="00232BCE"/>
    <w:rsid w:val="00251625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773C9"/>
    <w:rsid w:val="003828F3"/>
    <w:rsid w:val="00393A62"/>
    <w:rsid w:val="003A7830"/>
    <w:rsid w:val="003B78A7"/>
    <w:rsid w:val="003C118B"/>
    <w:rsid w:val="003C13C7"/>
    <w:rsid w:val="003C242B"/>
    <w:rsid w:val="003D5FCB"/>
    <w:rsid w:val="003F0D0A"/>
    <w:rsid w:val="003F23FF"/>
    <w:rsid w:val="00400715"/>
    <w:rsid w:val="004101AE"/>
    <w:rsid w:val="00417DC8"/>
    <w:rsid w:val="004218A0"/>
    <w:rsid w:val="00424F9F"/>
    <w:rsid w:val="00426EC0"/>
    <w:rsid w:val="00432364"/>
    <w:rsid w:val="00434E1D"/>
    <w:rsid w:val="004434B5"/>
    <w:rsid w:val="00446A7B"/>
    <w:rsid w:val="0045366E"/>
    <w:rsid w:val="00476CAC"/>
    <w:rsid w:val="0047715E"/>
    <w:rsid w:val="0048231C"/>
    <w:rsid w:val="004944DA"/>
    <w:rsid w:val="004B47D4"/>
    <w:rsid w:val="004B621C"/>
    <w:rsid w:val="004C388C"/>
    <w:rsid w:val="004E23C9"/>
    <w:rsid w:val="004E4E45"/>
    <w:rsid w:val="004F1944"/>
    <w:rsid w:val="004F6169"/>
    <w:rsid w:val="00505DF2"/>
    <w:rsid w:val="00516B23"/>
    <w:rsid w:val="0052165B"/>
    <w:rsid w:val="005241E3"/>
    <w:rsid w:val="00536C86"/>
    <w:rsid w:val="00543C16"/>
    <w:rsid w:val="00572A98"/>
    <w:rsid w:val="00577D0B"/>
    <w:rsid w:val="00585E99"/>
    <w:rsid w:val="005910F4"/>
    <w:rsid w:val="00595281"/>
    <w:rsid w:val="00597ED8"/>
    <w:rsid w:val="005A3F6D"/>
    <w:rsid w:val="005E3AF5"/>
    <w:rsid w:val="006101E1"/>
    <w:rsid w:val="006217E0"/>
    <w:rsid w:val="00656BEB"/>
    <w:rsid w:val="00666428"/>
    <w:rsid w:val="00671FD1"/>
    <w:rsid w:val="00674F12"/>
    <w:rsid w:val="00687B2B"/>
    <w:rsid w:val="006B06B9"/>
    <w:rsid w:val="006B78CC"/>
    <w:rsid w:val="006C253A"/>
    <w:rsid w:val="006C5CB9"/>
    <w:rsid w:val="006E702C"/>
    <w:rsid w:val="006F0F37"/>
    <w:rsid w:val="007131F9"/>
    <w:rsid w:val="007139E9"/>
    <w:rsid w:val="00733A4C"/>
    <w:rsid w:val="007446AF"/>
    <w:rsid w:val="007477AC"/>
    <w:rsid w:val="007549EE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80FDC"/>
    <w:rsid w:val="008873A1"/>
    <w:rsid w:val="00892339"/>
    <w:rsid w:val="008A5B58"/>
    <w:rsid w:val="008B1FAF"/>
    <w:rsid w:val="008C45A3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26D0"/>
    <w:rsid w:val="009B441C"/>
    <w:rsid w:val="009B51F5"/>
    <w:rsid w:val="009B6BBC"/>
    <w:rsid w:val="009D21FE"/>
    <w:rsid w:val="009D2412"/>
    <w:rsid w:val="00A06E6C"/>
    <w:rsid w:val="00A1207A"/>
    <w:rsid w:val="00A16022"/>
    <w:rsid w:val="00A4606B"/>
    <w:rsid w:val="00A50BC4"/>
    <w:rsid w:val="00A800CA"/>
    <w:rsid w:val="00A8208D"/>
    <w:rsid w:val="00A914D1"/>
    <w:rsid w:val="00AB1A2C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A1D46"/>
    <w:rsid w:val="00BA3E09"/>
    <w:rsid w:val="00BB68D1"/>
    <w:rsid w:val="00BC3257"/>
    <w:rsid w:val="00BC78D6"/>
    <w:rsid w:val="00BD1073"/>
    <w:rsid w:val="00BE5304"/>
    <w:rsid w:val="00BF274D"/>
    <w:rsid w:val="00C14B80"/>
    <w:rsid w:val="00C23CC6"/>
    <w:rsid w:val="00C52662"/>
    <w:rsid w:val="00C75F5B"/>
    <w:rsid w:val="00C84444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D04415"/>
    <w:rsid w:val="00D62601"/>
    <w:rsid w:val="00D91C32"/>
    <w:rsid w:val="00D93633"/>
    <w:rsid w:val="00D977C3"/>
    <w:rsid w:val="00DB0F85"/>
    <w:rsid w:val="00DC5F16"/>
    <w:rsid w:val="00DD3D89"/>
    <w:rsid w:val="00E10D74"/>
    <w:rsid w:val="00E15228"/>
    <w:rsid w:val="00E23E87"/>
    <w:rsid w:val="00E30DFA"/>
    <w:rsid w:val="00E41064"/>
    <w:rsid w:val="00E6780C"/>
    <w:rsid w:val="00E738E1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34043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2017-11-27T12:48:00Z</cp:lastPrinted>
  <dcterms:created xsi:type="dcterms:W3CDTF">2020-02-13T14:03:00Z</dcterms:created>
  <dcterms:modified xsi:type="dcterms:W3CDTF">2020-02-13T14:03:00Z</dcterms:modified>
</cp:coreProperties>
</file>