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C2296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  Trimestre: </w:t>
      </w:r>
      <w:r w:rsidR="00EC590F">
        <w:rPr>
          <w:b/>
          <w:lang w:val="es-MX"/>
        </w:rPr>
        <w:t>CUARTO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3081D" w:rsidRDefault="00DC593E" w:rsidP="004A4BA1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F9752B">
        <w:t xml:space="preserve">recaudación al fin del trimestre </w:t>
      </w:r>
      <w:r w:rsidR="006707F0">
        <w:t>supera en la exposición</w:t>
      </w:r>
      <w:r w:rsidR="0083081D">
        <w:t xml:space="preserve"> a la programación financiera </w:t>
      </w:r>
      <w:r w:rsidR="006707F0">
        <w:t xml:space="preserve">que en el ejercicio siguiente se proyecta conforme </w:t>
      </w:r>
      <w:r w:rsidR="00E34145">
        <w:t>datos estadísticos de este Ministerio. Se incluye</w:t>
      </w:r>
      <w:r w:rsidR="004A4BA1">
        <w:t xml:space="preserve"> </w:t>
      </w:r>
      <w:r w:rsidR="0083081D">
        <w:t>en el comparativo</w:t>
      </w:r>
      <w:r w:rsidR="00F9752B">
        <w:t xml:space="preserve"> –anexo 4-</w:t>
      </w:r>
      <w:r w:rsidR="0083081D">
        <w:t>, la recaudación proveniente de la tasa de justicia a través del CUC 906</w:t>
      </w:r>
      <w:r w:rsidR="00E34145">
        <w:t xml:space="preserve"> como </w:t>
      </w:r>
      <w:r w:rsidR="0083081D">
        <w:t>criterio de exposición de la planificación.</w:t>
      </w:r>
    </w:p>
    <w:p w:rsidR="004A4BA1" w:rsidRDefault="004A4BA1" w:rsidP="004A4BA1">
      <w:pPr>
        <w:tabs>
          <w:tab w:val="left" w:pos="4680"/>
        </w:tabs>
        <w:spacing w:line="360" w:lineRule="auto"/>
        <w:ind w:left="720"/>
        <w:jc w:val="both"/>
      </w:pPr>
      <w:r>
        <w:t>El incremento en Remesas para Destinos varios, se debe al ingreso por convenio con la Nación –Financiamiento 95</w:t>
      </w:r>
      <w:r w:rsidR="00E34145">
        <w:t>-</w:t>
      </w:r>
      <w:r>
        <w:t>, para provisión de insumos al Laboratorio de Genética Forense.</w:t>
      </w:r>
    </w:p>
    <w:p w:rsidR="00E34145" w:rsidRDefault="00E34145" w:rsidP="004A4BA1">
      <w:pPr>
        <w:tabs>
          <w:tab w:val="left" w:pos="4680"/>
        </w:tabs>
        <w:spacing w:line="360" w:lineRule="auto"/>
        <w:ind w:left="720"/>
        <w:jc w:val="both"/>
      </w:pPr>
      <w:r>
        <w:t xml:space="preserve">También se incluyen en anexo, los recursos del Financiamiento 296, también propio de este Min. Público Fiscal, </w:t>
      </w:r>
      <w:proofErr w:type="spellStart"/>
      <w:proofErr w:type="gramStart"/>
      <w:r>
        <w:t>mas</w:t>
      </w:r>
      <w:proofErr w:type="spellEnd"/>
      <w:proofErr w:type="gramEnd"/>
      <w:r>
        <w:t xml:space="preserve"> allá de los recursos por </w:t>
      </w:r>
      <w:proofErr w:type="spellStart"/>
      <w:r>
        <w:t>Financ</w:t>
      </w:r>
      <w:proofErr w:type="spellEnd"/>
      <w:r>
        <w:t>. 21 que reconocen los reportes de la CGP.</w:t>
      </w:r>
    </w:p>
    <w:p w:rsidR="0083081D" w:rsidRDefault="0083081D" w:rsidP="00DC593E">
      <w:pPr>
        <w:tabs>
          <w:tab w:val="left" w:pos="4680"/>
        </w:tabs>
        <w:spacing w:line="360" w:lineRule="auto"/>
        <w:ind w:left="720"/>
        <w:jc w:val="both"/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25886" w:rsidRDefault="00E34145" w:rsidP="00D25886">
      <w:pPr>
        <w:tabs>
          <w:tab w:val="left" w:pos="4680"/>
        </w:tabs>
        <w:spacing w:line="360" w:lineRule="auto"/>
        <w:ind w:left="720"/>
        <w:jc w:val="both"/>
      </w:pPr>
      <w:r>
        <w:t>Dada la evolución de los recursos, l</w:t>
      </w:r>
      <w:r w:rsidR="00DC593E">
        <w:t xml:space="preserve">as erogaciones corrientes </w:t>
      </w:r>
      <w:r>
        <w:t xml:space="preserve">también se ven incrementadas. </w:t>
      </w:r>
      <w:bookmarkStart w:id="0" w:name="_GoBack"/>
      <w:bookmarkEnd w:id="0"/>
    </w:p>
    <w:p w:rsidR="00AD7296" w:rsidRDefault="00E34145" w:rsidP="002756E3">
      <w:pPr>
        <w:tabs>
          <w:tab w:val="left" w:pos="4680"/>
        </w:tabs>
        <w:spacing w:line="360" w:lineRule="auto"/>
        <w:ind w:left="720"/>
        <w:jc w:val="both"/>
      </w:pPr>
      <w:r>
        <w:t>La ejecución se ve afectada por</w:t>
      </w:r>
      <w:r w:rsidR="00106118">
        <w:t xml:space="preserve"> la situación financiera general del mercado.</w:t>
      </w:r>
      <w:r w:rsidR="00427345">
        <w:t xml:space="preserve"> </w:t>
      </w:r>
    </w:p>
    <w:p w:rsidR="00106118" w:rsidRDefault="00E34145" w:rsidP="006C45E5">
      <w:pPr>
        <w:tabs>
          <w:tab w:val="left" w:pos="4680"/>
        </w:tabs>
        <w:spacing w:line="360" w:lineRule="auto"/>
        <w:ind w:left="720"/>
        <w:jc w:val="both"/>
      </w:pPr>
      <w:r>
        <w:t>El tipo de cambio</w:t>
      </w:r>
      <w:r w:rsidR="00106118">
        <w:t xml:space="preserve"> </w:t>
      </w:r>
      <w:r w:rsidR="003412BA">
        <w:t>condiciona</w:t>
      </w:r>
      <w:r w:rsidR="00106118">
        <w:t xml:space="preserve"> las decisiones.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r w:rsidR="00E34145">
        <w:rPr>
          <w:rFonts w:ascii="Arial" w:hAnsi="Arial" w:cs="Arial"/>
          <w:b/>
          <w:bCs/>
          <w:sz w:val="16"/>
          <w:szCs w:val="16"/>
        </w:rPr>
        <w:t>Febrero 2019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21791B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7F0" w:rsidRDefault="006707F0" w:rsidP="002730C9">
      <w:r>
        <w:separator/>
      </w:r>
    </w:p>
  </w:endnote>
  <w:endnote w:type="continuationSeparator" w:id="0">
    <w:p w:rsidR="006707F0" w:rsidRDefault="006707F0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7F0" w:rsidRDefault="006707F0" w:rsidP="002730C9">
      <w:r>
        <w:separator/>
      </w:r>
    </w:p>
  </w:footnote>
  <w:footnote w:type="continuationSeparator" w:id="0">
    <w:p w:rsidR="006707F0" w:rsidRDefault="006707F0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7F0" w:rsidRDefault="006707F0" w:rsidP="002730C9">
    <w:pPr>
      <w:pStyle w:val="Encabezado"/>
      <w:jc w:val="center"/>
    </w:pPr>
  </w:p>
  <w:p w:rsidR="006707F0" w:rsidRDefault="006707F0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3E"/>
    <w:rsid w:val="000336E7"/>
    <w:rsid w:val="00035C84"/>
    <w:rsid w:val="000812C0"/>
    <w:rsid w:val="000946A3"/>
    <w:rsid w:val="000C5CB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94F34"/>
    <w:rsid w:val="002A57D6"/>
    <w:rsid w:val="00302A41"/>
    <w:rsid w:val="003412BA"/>
    <w:rsid w:val="00366D2C"/>
    <w:rsid w:val="00367FC1"/>
    <w:rsid w:val="003824B6"/>
    <w:rsid w:val="0039581A"/>
    <w:rsid w:val="003E5AAD"/>
    <w:rsid w:val="004254A9"/>
    <w:rsid w:val="00425F74"/>
    <w:rsid w:val="00427345"/>
    <w:rsid w:val="0044698E"/>
    <w:rsid w:val="004577EA"/>
    <w:rsid w:val="00466B53"/>
    <w:rsid w:val="00474596"/>
    <w:rsid w:val="004A4BA1"/>
    <w:rsid w:val="004D252F"/>
    <w:rsid w:val="005F2264"/>
    <w:rsid w:val="006707F0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3081D"/>
    <w:rsid w:val="00844C40"/>
    <w:rsid w:val="00881102"/>
    <w:rsid w:val="008E0989"/>
    <w:rsid w:val="008E3E23"/>
    <w:rsid w:val="00903E33"/>
    <w:rsid w:val="00A019D1"/>
    <w:rsid w:val="00AA4856"/>
    <w:rsid w:val="00AA4E39"/>
    <w:rsid w:val="00AC3E24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B335D"/>
    <w:rsid w:val="00CC0DF7"/>
    <w:rsid w:val="00CE4204"/>
    <w:rsid w:val="00D15999"/>
    <w:rsid w:val="00D25886"/>
    <w:rsid w:val="00D339E9"/>
    <w:rsid w:val="00D4052A"/>
    <w:rsid w:val="00D867A9"/>
    <w:rsid w:val="00D87424"/>
    <w:rsid w:val="00DC593E"/>
    <w:rsid w:val="00E119C3"/>
    <w:rsid w:val="00E138D2"/>
    <w:rsid w:val="00E332E6"/>
    <w:rsid w:val="00E34145"/>
    <w:rsid w:val="00E37399"/>
    <w:rsid w:val="00E5464A"/>
    <w:rsid w:val="00E90A56"/>
    <w:rsid w:val="00EA7394"/>
    <w:rsid w:val="00EB4FF9"/>
    <w:rsid w:val="00EC08DC"/>
    <w:rsid w:val="00EC590F"/>
    <w:rsid w:val="00F17E77"/>
    <w:rsid w:val="00F355BC"/>
    <w:rsid w:val="00F54483"/>
    <w:rsid w:val="00F773FB"/>
    <w:rsid w:val="00F9752B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2018-12-03T13:20:00Z</cp:lastPrinted>
  <dcterms:created xsi:type="dcterms:W3CDTF">2019-02-08T16:36:00Z</dcterms:created>
  <dcterms:modified xsi:type="dcterms:W3CDTF">2019-02-11T17:24:00Z</dcterms:modified>
</cp:coreProperties>
</file>